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951" w:rsidRPr="009E3BF1" w:rsidRDefault="00762951" w:rsidP="00762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B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D272F9" wp14:editId="7991A228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951" w:rsidRPr="009E3BF1" w:rsidRDefault="00A27846" w:rsidP="0076295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762951" w:rsidRPr="009E3BF1">
        <w:rPr>
          <w:rFonts w:ascii="Times New Roman" w:hAnsi="Times New Roman" w:cs="Times New Roman"/>
          <w:sz w:val="28"/>
          <w:szCs w:val="28"/>
        </w:rPr>
        <w:t xml:space="preserve">НАУКИ </w:t>
      </w:r>
      <w:r>
        <w:rPr>
          <w:rFonts w:ascii="Times New Roman" w:hAnsi="Times New Roman" w:cs="Times New Roman"/>
          <w:sz w:val="28"/>
          <w:szCs w:val="28"/>
        </w:rPr>
        <w:t xml:space="preserve">И ВЫСШЕГО ОБРАЗОВАНИЯ </w:t>
      </w:r>
      <w:r w:rsidR="00762951" w:rsidRPr="009E3BF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62951" w:rsidRPr="009E3BF1" w:rsidRDefault="00762951" w:rsidP="00762951">
      <w:pPr>
        <w:spacing w:after="0" w:line="240" w:lineRule="auto"/>
        <w:ind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BF1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762951" w:rsidRPr="009E3BF1" w:rsidRDefault="00762951" w:rsidP="00762951">
      <w:pPr>
        <w:spacing w:after="0" w:line="240" w:lineRule="auto"/>
        <w:ind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BF1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9E3BF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E3BF1">
        <w:rPr>
          <w:rFonts w:ascii="Times New Roman" w:hAnsi="Times New Roman" w:cs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762951" w:rsidRPr="00AE6BB7" w:rsidRDefault="00762951" w:rsidP="007629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BB7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762951" w:rsidRDefault="00762951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762951" w:rsidRDefault="00762951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A27846" w:rsidRDefault="00762951" w:rsidP="00A27846">
      <w:pPr>
        <w:pStyle w:val="a3"/>
        <w:shd w:val="clear" w:color="auto" w:fill="FEFEFE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«ИСТОРИЯ И МЕТОДОЛОГИЯ </w:t>
      </w:r>
      <w:proofErr w:type="gramStart"/>
      <w:r>
        <w:rPr>
          <w:rStyle w:val="a4"/>
          <w:sz w:val="28"/>
          <w:szCs w:val="28"/>
        </w:rPr>
        <w:t>ЮРИДИЧЕСКИЙ</w:t>
      </w:r>
      <w:proofErr w:type="gramEnd"/>
      <w:r>
        <w:rPr>
          <w:rStyle w:val="a4"/>
          <w:sz w:val="28"/>
          <w:szCs w:val="28"/>
        </w:rPr>
        <w:t xml:space="preserve"> НАУКИ</w:t>
      </w:r>
      <w:r w:rsidRPr="00543EAD">
        <w:rPr>
          <w:rStyle w:val="a4"/>
          <w:sz w:val="28"/>
          <w:szCs w:val="28"/>
        </w:rPr>
        <w:t>»</w:t>
      </w:r>
    </w:p>
    <w:p w:rsidR="00762951" w:rsidRDefault="00762951" w:rsidP="00A27846">
      <w:pPr>
        <w:pStyle w:val="a3"/>
        <w:shd w:val="clear" w:color="auto" w:fill="FEFEFE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543EAD">
        <w:rPr>
          <w:rStyle w:val="a4"/>
          <w:sz w:val="28"/>
          <w:szCs w:val="28"/>
        </w:rPr>
        <w:t xml:space="preserve"> </w:t>
      </w:r>
    </w:p>
    <w:p w:rsidR="00A27846" w:rsidRPr="00A27846" w:rsidRDefault="00A27846" w:rsidP="00A27846">
      <w:pPr>
        <w:pStyle w:val="Default"/>
        <w:jc w:val="center"/>
        <w:rPr>
          <w:sz w:val="28"/>
          <w:szCs w:val="28"/>
        </w:rPr>
      </w:pPr>
      <w:r w:rsidRPr="00A27846">
        <w:rPr>
          <w:b/>
          <w:bCs/>
          <w:sz w:val="28"/>
          <w:szCs w:val="28"/>
        </w:rPr>
        <w:t>Методические указания и задания для контрольных работ</w:t>
      </w:r>
    </w:p>
    <w:p w:rsidR="00A27846" w:rsidRDefault="00A27846" w:rsidP="00A27846">
      <w:pPr>
        <w:pStyle w:val="Default"/>
        <w:jc w:val="center"/>
        <w:rPr>
          <w:b/>
          <w:bCs/>
          <w:sz w:val="28"/>
          <w:szCs w:val="28"/>
        </w:rPr>
      </w:pPr>
      <w:r w:rsidRPr="00A27846">
        <w:rPr>
          <w:b/>
          <w:bCs/>
          <w:sz w:val="28"/>
          <w:szCs w:val="28"/>
        </w:rPr>
        <w:t xml:space="preserve">для магистрантов заочной формы обучения </w:t>
      </w:r>
    </w:p>
    <w:p w:rsidR="00A27846" w:rsidRDefault="00A27846" w:rsidP="00A27846">
      <w:pPr>
        <w:pStyle w:val="Default"/>
        <w:jc w:val="center"/>
        <w:rPr>
          <w:b/>
          <w:bCs/>
          <w:sz w:val="28"/>
          <w:szCs w:val="28"/>
        </w:rPr>
      </w:pPr>
      <w:r w:rsidRPr="00A27846">
        <w:rPr>
          <w:b/>
          <w:bCs/>
          <w:sz w:val="28"/>
          <w:szCs w:val="28"/>
        </w:rPr>
        <w:t>по направлению подготовки:</w:t>
      </w:r>
    </w:p>
    <w:p w:rsidR="00A27846" w:rsidRDefault="00A27846" w:rsidP="00A2784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A27846">
        <w:rPr>
          <w:b/>
          <w:bCs/>
          <w:sz w:val="28"/>
          <w:szCs w:val="28"/>
        </w:rPr>
        <w:t>40.04.01 (030900) «Юриспруденция» программа</w:t>
      </w:r>
    </w:p>
    <w:p w:rsidR="00762951" w:rsidRPr="00A27846" w:rsidRDefault="00A27846" w:rsidP="00A27846">
      <w:pPr>
        <w:pStyle w:val="Default"/>
        <w:jc w:val="center"/>
        <w:rPr>
          <w:rFonts w:ascii="Tahoma" w:hAnsi="Tahoma" w:cs="Tahoma"/>
          <w:color w:val="222222"/>
          <w:sz w:val="28"/>
          <w:szCs w:val="28"/>
        </w:rPr>
      </w:pPr>
      <w:r w:rsidRPr="00A27846">
        <w:rPr>
          <w:b/>
          <w:bCs/>
          <w:sz w:val="28"/>
          <w:szCs w:val="28"/>
        </w:rPr>
        <w:t xml:space="preserve"> «Правовой порядок и правовые ценности»</w:t>
      </w:r>
    </w:p>
    <w:p w:rsidR="00762951" w:rsidRDefault="00762951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762951" w:rsidRPr="007C7D12" w:rsidRDefault="00A27846" w:rsidP="00A27846">
      <w:pPr>
        <w:pStyle w:val="a3"/>
        <w:shd w:val="clear" w:color="auto" w:fill="FEFEFE"/>
        <w:spacing w:before="300" w:beforeAutospacing="0" w:after="300" w:afterAutospacing="0"/>
        <w:ind w:left="300" w:right="-1"/>
        <w:rPr>
          <w:rStyle w:val="a4"/>
          <w:rFonts w:ascii="Tahoma" w:hAnsi="Tahoma" w:cs="Tahoma"/>
          <w:color w:val="222222"/>
        </w:rPr>
      </w:pPr>
      <w:r>
        <w:rPr>
          <w:b/>
          <w:bCs/>
          <w:sz w:val="23"/>
          <w:szCs w:val="23"/>
        </w:rPr>
        <w:t xml:space="preserve">                                                 </w:t>
      </w:r>
      <w:r w:rsidR="007C7D12">
        <w:rPr>
          <w:b/>
          <w:bCs/>
          <w:sz w:val="23"/>
          <w:szCs w:val="23"/>
        </w:rPr>
        <w:t xml:space="preserve">  </w:t>
      </w:r>
      <w:r w:rsidRPr="00B36B96">
        <w:rPr>
          <w:b/>
          <w:bCs/>
        </w:rPr>
        <w:t xml:space="preserve">Автор-составитель: </w:t>
      </w:r>
      <w:proofErr w:type="spellStart"/>
      <w:r w:rsidRPr="00B36B96">
        <w:t>ю.ф.н</w:t>
      </w:r>
      <w:proofErr w:type="spellEnd"/>
      <w:r w:rsidRPr="00B36B96">
        <w:t xml:space="preserve">., </w:t>
      </w:r>
      <w:proofErr w:type="spellStart"/>
      <w:r w:rsidRPr="00B36B96">
        <w:t>д.ю.н</w:t>
      </w:r>
      <w:proofErr w:type="spellEnd"/>
      <w:r w:rsidRPr="00B36B96">
        <w:t xml:space="preserve">., профессор </w:t>
      </w:r>
      <w:proofErr w:type="spellStart"/>
      <w:r w:rsidRPr="00B36B96">
        <w:t>Працко</w:t>
      </w:r>
      <w:proofErr w:type="spellEnd"/>
      <w:r w:rsidRPr="00B36B96">
        <w:t xml:space="preserve"> Г.С.</w:t>
      </w:r>
    </w:p>
    <w:p w:rsidR="00762951" w:rsidRDefault="00762951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762951" w:rsidRDefault="00762951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762951" w:rsidRDefault="00762951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762951" w:rsidRDefault="00762951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A27846" w:rsidRDefault="00A27846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A27846" w:rsidRDefault="00A27846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A27846" w:rsidRDefault="00A27846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762951" w:rsidRPr="00543EAD" w:rsidRDefault="00762951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rStyle w:val="a4"/>
          <w:sz w:val="28"/>
          <w:szCs w:val="28"/>
        </w:rPr>
      </w:pPr>
      <w:r w:rsidRPr="00543EAD">
        <w:rPr>
          <w:rStyle w:val="a4"/>
          <w:sz w:val="28"/>
          <w:szCs w:val="28"/>
        </w:rPr>
        <w:t>г. Ростов-на-Дону</w:t>
      </w:r>
    </w:p>
    <w:p w:rsidR="00762951" w:rsidRPr="00543EAD" w:rsidRDefault="002D5E9C" w:rsidP="00762951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2020</w:t>
      </w:r>
      <w:bookmarkStart w:id="0" w:name="_GoBack"/>
      <w:bookmarkEnd w:id="0"/>
    </w:p>
    <w:p w:rsidR="00762951" w:rsidRDefault="00A27846" w:rsidP="00A27846">
      <w:pPr>
        <w:pStyle w:val="a3"/>
        <w:shd w:val="clear" w:color="auto" w:fill="FEFEFE"/>
        <w:tabs>
          <w:tab w:val="left" w:pos="9355"/>
        </w:tabs>
        <w:spacing w:before="0" w:beforeAutospacing="0" w:after="0" w:afterAutospacing="0" w:line="360" w:lineRule="auto"/>
        <w:ind w:firstLine="70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ВВЕДЕНИЕ</w:t>
      </w:r>
    </w:p>
    <w:p w:rsidR="00A27846" w:rsidRPr="00762951" w:rsidRDefault="00A27846" w:rsidP="00E249F6">
      <w:pPr>
        <w:pStyle w:val="a3"/>
        <w:shd w:val="clear" w:color="auto" w:fill="FEFEFE"/>
        <w:tabs>
          <w:tab w:val="left" w:pos="9355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28"/>
          <w:szCs w:val="28"/>
        </w:rPr>
        <w:t>Подготовка и написание контрольной работы, является обязательной</w:t>
      </w:r>
      <w:r w:rsidR="00E249F6">
        <w:rPr>
          <w:sz w:val="28"/>
          <w:szCs w:val="28"/>
        </w:rPr>
        <w:t xml:space="preserve"> составной </w:t>
      </w:r>
      <w:r>
        <w:rPr>
          <w:sz w:val="28"/>
          <w:szCs w:val="28"/>
        </w:rPr>
        <w:t xml:space="preserve"> частью</w:t>
      </w:r>
      <w:r w:rsidR="00E249F6">
        <w:rPr>
          <w:sz w:val="28"/>
          <w:szCs w:val="28"/>
        </w:rPr>
        <w:t xml:space="preserve"> учебного плана по дисциплине «История и методология юридической науки» для магистрантов очной и заочной форм обучения.</w:t>
      </w:r>
      <w:r>
        <w:rPr>
          <w:sz w:val="28"/>
          <w:szCs w:val="28"/>
        </w:rPr>
        <w:t xml:space="preserve"> </w:t>
      </w:r>
      <w:r w:rsidR="00E249F6" w:rsidRPr="00762951">
        <w:rPr>
          <w:sz w:val="30"/>
          <w:szCs w:val="30"/>
        </w:rPr>
        <w:t xml:space="preserve">Контрольная работа является одной из первых форм самостоятельной научно-исследовательской деятельности магистрантов, а также эффективным средством контроля со стороны кафедры за усвоением ими учебного материала. </w:t>
      </w:r>
      <w:r>
        <w:rPr>
          <w:sz w:val="28"/>
          <w:szCs w:val="28"/>
        </w:rPr>
        <w:t xml:space="preserve"> </w:t>
      </w:r>
      <w:r w:rsidR="00E249F6">
        <w:rPr>
          <w:sz w:val="28"/>
          <w:szCs w:val="28"/>
        </w:rPr>
        <w:t>Это один из и</w:t>
      </w:r>
      <w:r>
        <w:rPr>
          <w:sz w:val="28"/>
          <w:szCs w:val="28"/>
        </w:rPr>
        <w:t xml:space="preserve">х видов самостоятельного изучения курса, </w:t>
      </w:r>
      <w:r w:rsidR="00E249F6">
        <w:rPr>
          <w:sz w:val="28"/>
          <w:szCs w:val="28"/>
        </w:rPr>
        <w:t xml:space="preserve">который </w:t>
      </w:r>
      <w:r>
        <w:rPr>
          <w:sz w:val="28"/>
          <w:szCs w:val="28"/>
        </w:rPr>
        <w:t>помогает приобрести навыки по усвоению материала учебников и учебных пособий, нормативно-правовых актов, умение решать юридические задачи и четко излагать содержание всех вопросов учебного курса. Выполнение контрольной работы также требует от магистранта творческого мышления, аргументации и логики изложения, формулирования личной позиции.</w:t>
      </w:r>
    </w:p>
    <w:p w:rsidR="00E249F6" w:rsidRDefault="00A27846" w:rsidP="00E249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заданий. </w:t>
      </w:r>
    </w:p>
    <w:p w:rsidR="00A27846" w:rsidRDefault="00A27846" w:rsidP="00E249F6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контрольной работы: </w:t>
      </w:r>
    </w:p>
    <w:p w:rsidR="00A27846" w:rsidRDefault="00A27846" w:rsidP="00E249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проверка и оценка знаний магистрантов; </w:t>
      </w:r>
    </w:p>
    <w:p w:rsidR="00A27846" w:rsidRDefault="00A27846" w:rsidP="00E249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навыков правового анализа документов, позиций ученых по различным проблемам</w:t>
      </w:r>
      <w:r w:rsidR="00E70D26">
        <w:rPr>
          <w:sz w:val="28"/>
          <w:szCs w:val="28"/>
        </w:rPr>
        <w:t xml:space="preserve"> истории и методологии юридической науки</w:t>
      </w:r>
      <w:r>
        <w:rPr>
          <w:sz w:val="28"/>
          <w:szCs w:val="28"/>
        </w:rPr>
        <w:t xml:space="preserve">; </w:t>
      </w:r>
    </w:p>
    <w:p w:rsidR="00A27846" w:rsidRDefault="00A27846" w:rsidP="00E249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получение информации об уровне самостоятельности и активности магистрантов, об эффективности форм и методов учебной работы. </w:t>
      </w:r>
    </w:p>
    <w:p w:rsidR="00E249F6" w:rsidRDefault="00E249F6" w:rsidP="00E249F6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Задачи, стоящими перед магистрантами во время выполнения контрольной работы: </w:t>
      </w:r>
      <w:proofErr w:type="gramEnd"/>
    </w:p>
    <w:p w:rsidR="00E249F6" w:rsidRDefault="00E249F6" w:rsidP="00E249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изучение существующей научной литературы по </w:t>
      </w:r>
      <w:r w:rsidR="008D23EC">
        <w:rPr>
          <w:sz w:val="28"/>
          <w:szCs w:val="28"/>
        </w:rPr>
        <w:t xml:space="preserve"> истории и методологии юридической науки</w:t>
      </w:r>
      <w:r>
        <w:rPr>
          <w:sz w:val="28"/>
          <w:szCs w:val="28"/>
        </w:rPr>
        <w:t xml:space="preserve">; </w:t>
      </w:r>
    </w:p>
    <w:p w:rsidR="00E249F6" w:rsidRDefault="00E249F6" w:rsidP="00E249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сопоставление различных точки зрения и выработка на этой основе собственных суждений и выводов; </w:t>
      </w:r>
    </w:p>
    <w:p w:rsidR="00E249F6" w:rsidRDefault="00E249F6" w:rsidP="00E249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оперирование юридическими понятиями и категориями;</w:t>
      </w:r>
    </w:p>
    <w:p w:rsidR="00E249F6" w:rsidRDefault="00E249F6" w:rsidP="00E249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самостоятельное изучение правовых актов, усвоение их содержания и анализ, аргументирование своих выводов по сути данных документов ссылками на их текст, проведение их правового анализа; </w:t>
      </w:r>
    </w:p>
    <w:p w:rsidR="00E249F6" w:rsidRDefault="00E249F6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применять полученные знания при подготовке выпускной квалификационной работы и в практической деятельности. </w:t>
      </w:r>
    </w:p>
    <w:p w:rsidR="00582BEA" w:rsidRDefault="00E249F6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2BEA">
        <w:rPr>
          <w:b/>
          <w:bCs/>
          <w:sz w:val="28"/>
          <w:szCs w:val="28"/>
        </w:rPr>
        <w:t xml:space="preserve">Этапы выполнения контрольной работы: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Отбор и тщательное изучение рекомендованной литературы и источников. При подборе литературы и других источников, следует 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«Государство и право», «Правоведение», «Журнал российского права», «Вестник МГУ. Серия Право», «Российский юридический журнал».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Анализ собранного материала, изложение содержания вопросов и выполнение </w:t>
      </w:r>
      <w:proofErr w:type="spellStart"/>
      <w:r>
        <w:rPr>
          <w:sz w:val="28"/>
          <w:szCs w:val="28"/>
        </w:rPr>
        <w:t>разноуровневых</w:t>
      </w:r>
      <w:proofErr w:type="spellEnd"/>
      <w:r>
        <w:rPr>
          <w:sz w:val="28"/>
          <w:szCs w:val="28"/>
        </w:rPr>
        <w:t xml:space="preserve"> заданий. Самый важный и ответственный момент в процессе подготовки контрольной работы – это изучение и анализ литературных источников. 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контрольной работы особое место занимает изучение нормативного правового материала.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плана при написании работы не требуется.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Оформление списка использованных источников.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контрольной работы указывается список использованной литературы, включающий разделы: 1) нормативные акты, 2) литературные источники. В раздел «Нормативные акты» включаются как действующие законодательные акты, так и памятники права.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того, опубликовал ли он монографию, учебник или журнальную статью. При описании монографии указываются фамилия автора с инициалами, полное название 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Предоставление ее в деканат (кафедру) для регистрации и дальнейшего рецензирования в соответствии с установленными сроками (не позднее, чем за две недели до начала сессии). Контрольные работы регистрируются в журнале и проверяются преподавателем, ведущим занятия в группе.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результатам проверки контрольной работы выставляется оценка «зачтено» - «не зачтено».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«зачтено» выставляется магистранту в том случае, если представленная контрольная работа соответствует следующим критериям: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содержательность работы (верное, четкое и достаточно глубокое изложение идей, понятий, фактов и т.д.);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полнота и одновременно разумная лаконичность;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новизна учебной информации, степень использования и понимания научных и нормативных источников;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связывать теорию с практикой, творчески применять знания к неординарным ситуациям;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логика и аргументированность изложения;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грамотное комментирование, интерпретация и анализ, приведение примеров, аналогий;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культура письма.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литературы.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оценки контрольной работы зависит от полноты рассмотрения вопросов, степени использования литературы и законодательства по теме, грамотности и качества оформления.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Магистранты,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Работа с рецензией преподавателя и устранение указанных замечаний.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Получив рецензию на представленную контрольную работу, магистрант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</w:t>
      </w:r>
      <w:proofErr w:type="gramStart"/>
      <w:r>
        <w:rPr>
          <w:sz w:val="28"/>
          <w:szCs w:val="28"/>
        </w:rPr>
        <w:t>не верно</w:t>
      </w:r>
      <w:proofErr w:type="gramEnd"/>
      <w:r>
        <w:rPr>
          <w:sz w:val="28"/>
          <w:szCs w:val="28"/>
        </w:rPr>
        <w:t xml:space="preserve"> решена задача, работа неправильно оформлена и т.д.) она возвращается магистранту на доработку.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написанной по результатам проверки работы рецензии преподаватель отмечает достоинства и недостатки изложения материала и оценивает контрольную работу («зачтено» или «не зачтено»). В случае если работа не будет зачтена, магистрант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Структура контрольной работы: </w:t>
      </w:r>
      <w:r>
        <w:rPr>
          <w:sz w:val="28"/>
          <w:szCs w:val="28"/>
        </w:rPr>
        <w:t xml:space="preserve">титульный лист, задание (вариант контрольной работы с заданиями), основная часть (текстовый материал), список использованных источников.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и задания, представленные в вариантах контрольной работы, прежде всего, направлены на организацию активной учебной деятельности магистрантов; раскрытию причинно-следственных связей, установлению последовательности фактов, выделения главного, выявлению общего и отличного в явлениях.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должна выполняться самостоятельно и на высоком теоретическом уровне. 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 </w:t>
      </w:r>
    </w:p>
    <w:p w:rsidR="00762951" w:rsidRDefault="00582BEA" w:rsidP="00582B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работы должна быть написана на основе обстоятельного изучения рекомендованной литературы. Кроме указанной литературы, могут быть использованы и другие источники, которые магистрант найдет самостоятельно.</w:t>
      </w:r>
    </w:p>
    <w:p w:rsidR="00582BEA" w:rsidRDefault="00582BEA" w:rsidP="00582BEA">
      <w:pPr>
        <w:pStyle w:val="Default"/>
        <w:ind w:firstLine="709"/>
        <w:jc w:val="both"/>
        <w:rPr>
          <w:sz w:val="28"/>
          <w:szCs w:val="28"/>
        </w:rPr>
      </w:pPr>
    </w:p>
    <w:p w:rsidR="00582BEA" w:rsidRDefault="00582BEA" w:rsidP="00582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Порядок выбора темы контрольной работы</w:t>
      </w:r>
    </w:p>
    <w:p w:rsidR="00582BEA" w:rsidRPr="00582BEA" w:rsidRDefault="00582BEA" w:rsidP="0058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BEA">
        <w:rPr>
          <w:rFonts w:ascii="Times New Roman" w:hAnsi="Times New Roman" w:cs="Times New Roman"/>
          <w:sz w:val="28"/>
          <w:szCs w:val="28"/>
        </w:rPr>
        <w:t>Выбор варианта контрольной работы осуществляется магистрантом по первой букве своей фамилии следующим образом:</w:t>
      </w:r>
    </w:p>
    <w:p w:rsidR="00582BEA" w:rsidRDefault="00582BEA" w:rsidP="00582BEA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582BEA" w:rsidTr="00582BEA">
        <w:tc>
          <w:tcPr>
            <w:tcW w:w="5211" w:type="dxa"/>
          </w:tcPr>
          <w:p w:rsidR="00582BEA" w:rsidRDefault="00582BEA" w:rsidP="00582B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Первая буква фамилии </w:t>
            </w:r>
          </w:p>
        </w:tc>
        <w:tc>
          <w:tcPr>
            <w:tcW w:w="4360" w:type="dxa"/>
          </w:tcPr>
          <w:p w:rsidR="00582BEA" w:rsidRDefault="00582BEA" w:rsidP="00582B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 контрольной работы</w:t>
            </w:r>
          </w:p>
        </w:tc>
      </w:tr>
      <w:tr w:rsidR="00582BEA" w:rsidTr="00582BEA">
        <w:tc>
          <w:tcPr>
            <w:tcW w:w="5211" w:type="dxa"/>
          </w:tcPr>
          <w:p w:rsidR="00582BEA" w:rsidRDefault="00582BEA" w:rsidP="00582BE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А, В, Д, Ж, И, Л, Н,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, С, У, Х, Ч, Ш, Ю</w:t>
            </w:r>
          </w:p>
        </w:tc>
        <w:tc>
          <w:tcPr>
            <w:tcW w:w="4360" w:type="dxa"/>
          </w:tcPr>
          <w:p w:rsidR="00582BEA" w:rsidRDefault="00582BEA" w:rsidP="00582BE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1,3,5,7,9 </w:t>
            </w:r>
          </w:p>
        </w:tc>
      </w:tr>
      <w:tr w:rsidR="00582BEA" w:rsidTr="00582BEA">
        <w:tc>
          <w:tcPr>
            <w:tcW w:w="5211" w:type="dxa"/>
          </w:tcPr>
          <w:p w:rsidR="00582BEA" w:rsidRDefault="00582BEA" w:rsidP="00582BE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Б, Г, Е, 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 xml:space="preserve">, К, М, О, Р, Т, Ф, Ц, Щ, Э, Я </w:t>
            </w:r>
          </w:p>
        </w:tc>
        <w:tc>
          <w:tcPr>
            <w:tcW w:w="4360" w:type="dxa"/>
          </w:tcPr>
          <w:p w:rsidR="00582BEA" w:rsidRDefault="00582BEA" w:rsidP="00582BE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2,4,6,8,10 </w:t>
            </w:r>
          </w:p>
        </w:tc>
      </w:tr>
    </w:tbl>
    <w:p w:rsidR="00582BEA" w:rsidRDefault="00582BEA" w:rsidP="00582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2BEA" w:rsidRPr="00582BEA" w:rsidRDefault="00582BEA" w:rsidP="0058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 выполняется магистрантом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582BEA" w:rsidRPr="00582BEA" w:rsidRDefault="00582BEA" w:rsidP="0058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Times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New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Roman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, через 1,5 интервала. </w:t>
      </w:r>
    </w:p>
    <w:p w:rsidR="00582BEA" w:rsidRPr="00582BEA" w:rsidRDefault="00582BEA" w:rsidP="0058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Работа должна быть выполнена аккуратно. В печатном варианте должны быть соблюдены требования, предъявляемые к оформлению письменных работ (поля, интервалы, шрифт). </w:t>
      </w:r>
    </w:p>
    <w:p w:rsidR="00582BEA" w:rsidRPr="00582BEA" w:rsidRDefault="00582BEA" w:rsidP="0058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. и в </w:t>
      </w:r>
      <w:r w:rsidRPr="00582BE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ЭБС «Университетская библиотека онлайн» (www.biblioclub.ru), использование </w:t>
      </w:r>
      <w:proofErr w:type="gram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отражается в списке литературы. </w:t>
      </w:r>
    </w:p>
    <w:p w:rsidR="00582BEA" w:rsidRPr="00582BEA" w:rsidRDefault="00582BEA" w:rsidP="0058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Контрольные работы, не соответствующие по содержанию и </w:t>
      </w:r>
      <w:proofErr w:type="gramStart"/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оформлению</w:t>
      </w:r>
      <w:proofErr w:type="gramEnd"/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указанным выше требованиям, к рассмотрению не принимаются. </w:t>
      </w:r>
    </w:p>
    <w:p w:rsidR="00582BEA" w:rsidRPr="00582BEA" w:rsidRDefault="00582BEA" w:rsidP="0058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>В качестве образца магистрантам следует принимать во внимание пример оформления контрольной работы по изучаемой дисциплине, размещенный на сайте.</w:t>
      </w:r>
    </w:p>
    <w:p w:rsidR="00582BEA" w:rsidRPr="00762951" w:rsidRDefault="00582BEA" w:rsidP="00582BEA">
      <w:pPr>
        <w:pStyle w:val="Default"/>
        <w:ind w:firstLine="709"/>
        <w:jc w:val="both"/>
        <w:rPr>
          <w:sz w:val="30"/>
          <w:szCs w:val="30"/>
        </w:rPr>
      </w:pPr>
    </w:p>
    <w:p w:rsidR="00793634" w:rsidRDefault="00582BEA" w:rsidP="00F606EC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2. Задание для контрольных работ</w:t>
      </w:r>
    </w:p>
    <w:p w:rsidR="00186195" w:rsidRDefault="00186195" w:rsidP="00186195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:rsidR="00186195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Вариант 1.</w:t>
      </w:r>
    </w:p>
    <w:p w:rsidR="00793634" w:rsidRPr="00793634" w:rsidRDefault="00793634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3634">
        <w:rPr>
          <w:sz w:val="28"/>
          <w:szCs w:val="28"/>
        </w:rPr>
        <w:t>1. Историческое развитие институциональных форм научной деятельности.</w:t>
      </w:r>
    </w:p>
    <w:p w:rsidR="00793634" w:rsidRPr="00793634" w:rsidRDefault="00793634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3634">
        <w:rPr>
          <w:sz w:val="28"/>
          <w:szCs w:val="28"/>
        </w:rPr>
        <w:t>2. Внутри</w:t>
      </w:r>
      <w:r w:rsidR="00A631BC">
        <w:rPr>
          <w:sz w:val="28"/>
          <w:szCs w:val="28"/>
        </w:rPr>
        <w:t>-</w:t>
      </w:r>
      <w:r w:rsidRPr="00793634">
        <w:rPr>
          <w:sz w:val="28"/>
          <w:szCs w:val="28"/>
        </w:rPr>
        <w:t>научные и социокультурные факторы в развитии научного знания.</w:t>
      </w:r>
    </w:p>
    <w:p w:rsidR="00793634" w:rsidRDefault="00793634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3634">
        <w:rPr>
          <w:sz w:val="28"/>
          <w:szCs w:val="28"/>
        </w:rPr>
        <w:t>3. Традиции и новации в науке.</w:t>
      </w:r>
    </w:p>
    <w:p w:rsid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86195" w:rsidRP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186195">
        <w:rPr>
          <w:b/>
          <w:sz w:val="28"/>
          <w:szCs w:val="28"/>
        </w:rPr>
        <w:t>Вариант 2.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634" w:rsidRPr="00793634">
        <w:rPr>
          <w:sz w:val="28"/>
          <w:szCs w:val="28"/>
        </w:rPr>
        <w:t>Роль истории науки в оценке методологических стратегий и программ.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3634" w:rsidRPr="00793634">
        <w:rPr>
          <w:sz w:val="28"/>
          <w:szCs w:val="28"/>
        </w:rPr>
        <w:t>Функции государства в управлении развитием науки.</w:t>
      </w:r>
    </w:p>
    <w:p w:rsid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3634" w:rsidRPr="00793634">
        <w:rPr>
          <w:sz w:val="28"/>
          <w:szCs w:val="28"/>
        </w:rPr>
        <w:t>Политика и современная научная картина мира.</w:t>
      </w:r>
    </w:p>
    <w:p w:rsid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86195" w:rsidRP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186195">
        <w:rPr>
          <w:b/>
          <w:sz w:val="28"/>
          <w:szCs w:val="28"/>
        </w:rPr>
        <w:t>Вариант 3.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634" w:rsidRPr="00793634">
        <w:rPr>
          <w:sz w:val="28"/>
          <w:szCs w:val="28"/>
        </w:rPr>
        <w:t>Взаимоотношение науки и религии в современной культуре.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3634" w:rsidRPr="00793634">
        <w:rPr>
          <w:sz w:val="28"/>
          <w:szCs w:val="28"/>
        </w:rPr>
        <w:t>Общество знания: понятие и смысл.</w:t>
      </w:r>
    </w:p>
    <w:p w:rsid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3634" w:rsidRPr="00793634">
        <w:rPr>
          <w:sz w:val="28"/>
          <w:szCs w:val="28"/>
        </w:rPr>
        <w:t>Научные исследования как условие предотвращения социальных кризисов.</w:t>
      </w:r>
    </w:p>
    <w:p w:rsid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86195" w:rsidRP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186195">
        <w:rPr>
          <w:b/>
          <w:sz w:val="28"/>
          <w:szCs w:val="28"/>
        </w:rPr>
        <w:t>Вариант 4.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634" w:rsidRPr="00793634">
        <w:rPr>
          <w:sz w:val="28"/>
          <w:szCs w:val="28"/>
        </w:rPr>
        <w:t>Компьютеризация науки и ее социальные последствия.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3634" w:rsidRPr="00793634">
        <w:rPr>
          <w:sz w:val="28"/>
          <w:szCs w:val="28"/>
        </w:rPr>
        <w:t>Роль науки в современном образовании и формировании личности.</w:t>
      </w:r>
    </w:p>
    <w:p w:rsid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3634" w:rsidRPr="00793634">
        <w:rPr>
          <w:sz w:val="28"/>
          <w:szCs w:val="28"/>
        </w:rPr>
        <w:t>Наука, человек, повседневность.</w:t>
      </w:r>
    </w:p>
    <w:p w:rsid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86195" w:rsidRP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186195">
        <w:rPr>
          <w:b/>
          <w:sz w:val="28"/>
          <w:szCs w:val="28"/>
        </w:rPr>
        <w:t>Вариант 5.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634" w:rsidRPr="00793634">
        <w:rPr>
          <w:sz w:val="28"/>
          <w:szCs w:val="28"/>
        </w:rPr>
        <w:t>Структурализм и постструктурализм в науке.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3634" w:rsidRPr="00793634">
        <w:rPr>
          <w:sz w:val="28"/>
          <w:szCs w:val="28"/>
        </w:rPr>
        <w:t>Психоаналитическая философия и методология.</w:t>
      </w:r>
    </w:p>
    <w:p w:rsid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3634" w:rsidRPr="00793634">
        <w:rPr>
          <w:sz w:val="28"/>
          <w:szCs w:val="28"/>
        </w:rPr>
        <w:t>Наука и постмодернизм.</w:t>
      </w:r>
    </w:p>
    <w:p w:rsid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86195" w:rsidRP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186195">
        <w:rPr>
          <w:b/>
          <w:sz w:val="28"/>
          <w:szCs w:val="28"/>
        </w:rPr>
        <w:t>Вариант 6.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793634" w:rsidRPr="00793634">
        <w:rPr>
          <w:sz w:val="28"/>
          <w:szCs w:val="28"/>
        </w:rPr>
        <w:t>Деятельностный</w:t>
      </w:r>
      <w:proofErr w:type="spellEnd"/>
      <w:r w:rsidR="00793634" w:rsidRPr="00793634">
        <w:rPr>
          <w:sz w:val="28"/>
          <w:szCs w:val="28"/>
        </w:rPr>
        <w:t xml:space="preserve"> подход в правоведении.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3634" w:rsidRPr="00793634">
        <w:rPr>
          <w:sz w:val="28"/>
          <w:szCs w:val="28"/>
        </w:rPr>
        <w:t>Методологический плюрализм в исследовании правовых явлений.</w:t>
      </w:r>
    </w:p>
    <w:p w:rsid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93634" w:rsidRPr="00793634">
        <w:rPr>
          <w:sz w:val="28"/>
          <w:szCs w:val="28"/>
        </w:rPr>
        <w:t>Проблема истинности правового познания.</w:t>
      </w:r>
    </w:p>
    <w:p w:rsid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86195" w:rsidRP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186195">
        <w:rPr>
          <w:b/>
          <w:sz w:val="28"/>
          <w:szCs w:val="28"/>
        </w:rPr>
        <w:t>Вариант 7.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634" w:rsidRPr="00793634">
        <w:rPr>
          <w:sz w:val="28"/>
          <w:szCs w:val="28"/>
        </w:rPr>
        <w:t>Юридическая наука как вид рациональности.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3634" w:rsidRPr="00793634">
        <w:rPr>
          <w:sz w:val="28"/>
          <w:szCs w:val="28"/>
        </w:rPr>
        <w:t>Рациональность права: юридический и метаюридический уровень.</w:t>
      </w:r>
    </w:p>
    <w:p w:rsid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3634" w:rsidRPr="00793634">
        <w:rPr>
          <w:sz w:val="28"/>
          <w:szCs w:val="28"/>
        </w:rPr>
        <w:t>Классический рационализм и истоки социальной инженерии, юридического позитивизма и естественно</w:t>
      </w:r>
      <w:r w:rsidR="00A631BC">
        <w:rPr>
          <w:sz w:val="28"/>
          <w:szCs w:val="28"/>
        </w:rPr>
        <w:t>-</w:t>
      </w:r>
      <w:r w:rsidR="00793634" w:rsidRPr="00793634">
        <w:rPr>
          <w:sz w:val="28"/>
          <w:szCs w:val="28"/>
        </w:rPr>
        <w:t>правовой доктрины.</w:t>
      </w:r>
    </w:p>
    <w:p w:rsid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86195" w:rsidRP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186195">
        <w:rPr>
          <w:b/>
          <w:sz w:val="28"/>
          <w:szCs w:val="28"/>
        </w:rPr>
        <w:t>Вариант 8.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634" w:rsidRPr="00793634">
        <w:rPr>
          <w:sz w:val="28"/>
          <w:szCs w:val="28"/>
        </w:rPr>
        <w:t>Естественно</w:t>
      </w:r>
      <w:r w:rsidR="00A631BC">
        <w:rPr>
          <w:sz w:val="28"/>
          <w:szCs w:val="28"/>
        </w:rPr>
        <w:t>-</w:t>
      </w:r>
      <w:r w:rsidR="00793634" w:rsidRPr="00793634">
        <w:rPr>
          <w:sz w:val="28"/>
          <w:szCs w:val="28"/>
        </w:rPr>
        <w:t>правовая доктрина между рационально-бюрократической инженерией и индивидуальной свободой.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3634" w:rsidRPr="00793634">
        <w:rPr>
          <w:sz w:val="28"/>
          <w:szCs w:val="28"/>
        </w:rPr>
        <w:t>Позитивистско-сциентистская рациональность в теории права.</w:t>
      </w:r>
    </w:p>
    <w:p w:rsid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3634" w:rsidRPr="00793634">
        <w:rPr>
          <w:sz w:val="28"/>
          <w:szCs w:val="28"/>
        </w:rPr>
        <w:t>Коммуникативная рациональность: релятивистская и европоцентристская модели.</w:t>
      </w:r>
    </w:p>
    <w:p w:rsid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86195" w:rsidRP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186195">
        <w:rPr>
          <w:b/>
          <w:sz w:val="28"/>
          <w:szCs w:val="28"/>
        </w:rPr>
        <w:t>Вариант 9.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634" w:rsidRPr="00793634">
        <w:rPr>
          <w:sz w:val="28"/>
          <w:szCs w:val="28"/>
        </w:rPr>
        <w:t xml:space="preserve">Идеи социального государства и кризис либерально-индивидуалистического </w:t>
      </w:r>
      <w:proofErr w:type="spellStart"/>
      <w:r w:rsidR="00793634" w:rsidRPr="00793634">
        <w:rPr>
          <w:sz w:val="28"/>
          <w:szCs w:val="28"/>
        </w:rPr>
        <w:t>правопонимания</w:t>
      </w:r>
      <w:proofErr w:type="spellEnd"/>
      <w:r w:rsidR="00793634" w:rsidRPr="00793634">
        <w:rPr>
          <w:sz w:val="28"/>
          <w:szCs w:val="28"/>
        </w:rPr>
        <w:t>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793634" w:rsidRPr="00793634">
        <w:rPr>
          <w:sz w:val="28"/>
          <w:szCs w:val="28"/>
        </w:rPr>
        <w:t>Этатистский</w:t>
      </w:r>
      <w:proofErr w:type="spellEnd"/>
      <w:r w:rsidR="00793634" w:rsidRPr="00793634">
        <w:rPr>
          <w:sz w:val="28"/>
          <w:szCs w:val="28"/>
        </w:rPr>
        <w:t xml:space="preserve"> и социологический позитивизм в правоведении.</w:t>
      </w:r>
    </w:p>
    <w:p w:rsid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3634" w:rsidRPr="00793634">
        <w:rPr>
          <w:sz w:val="28"/>
          <w:szCs w:val="28"/>
        </w:rPr>
        <w:t>Философия свободы в юридической науке.</w:t>
      </w:r>
    </w:p>
    <w:p w:rsid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86195" w:rsidRPr="00186195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186195">
        <w:rPr>
          <w:b/>
          <w:sz w:val="28"/>
          <w:szCs w:val="28"/>
        </w:rPr>
        <w:t>Вариант 10.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634" w:rsidRPr="00793634">
        <w:rPr>
          <w:sz w:val="28"/>
          <w:szCs w:val="28"/>
        </w:rPr>
        <w:t>Философская герменевтика: становление предметной области.</w:t>
      </w:r>
    </w:p>
    <w:p w:rsidR="00793634" w:rsidRP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3634" w:rsidRPr="00793634">
        <w:rPr>
          <w:sz w:val="28"/>
          <w:szCs w:val="28"/>
        </w:rPr>
        <w:t>Герменевтика и правоведение.</w:t>
      </w:r>
    </w:p>
    <w:p w:rsidR="00793634" w:rsidRDefault="00186195" w:rsidP="00342F11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93634" w:rsidRPr="00793634">
        <w:rPr>
          <w:sz w:val="28"/>
          <w:szCs w:val="28"/>
        </w:rPr>
        <w:t>Понимание и толкование закона.</w:t>
      </w:r>
    </w:p>
    <w:p w:rsidR="00E75C69" w:rsidRDefault="00E75C69" w:rsidP="00793634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1758"/>
        <w:gridCol w:w="3527"/>
        <w:gridCol w:w="2170"/>
        <w:gridCol w:w="1322"/>
      </w:tblGrid>
      <w:tr w:rsidR="00E75C69" w:rsidTr="00E75C69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Рекомендуемая литература</w:t>
            </w:r>
          </w:p>
        </w:tc>
      </w:tr>
      <w:tr w:rsidR="00E75C69" w:rsidTr="00E75C69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E75C69" w:rsidTr="00E75C6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5C69" w:rsidRPr="00E75C69" w:rsidRDefault="00E75C6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E75C69" w:rsidTr="00E75C6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Сырых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Владимир Михайлович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и методология юридической науки: Учебник по программам магистерской ступени образования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75C69" w:rsidTr="00E75C6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Лазарев Валерий Васильевич, Липень Сергей Васильевич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и методология юридической науки: Университетский курс для магистрантов юридических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75C69" w:rsidTr="00E75C6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Честнов Илья Львович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и методология юридической науки: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75C69" w:rsidTr="00E75C69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E75C69" w:rsidTr="00E75C6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5C69" w:rsidRDefault="00E75C69">
            <w:pPr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E75C69" w:rsidTr="00E75C6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5C69" w:rsidRDefault="00E75C69">
            <w:pPr>
              <w:rPr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Гражданин и право: журнал о гражданских правах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Новая правовая культура,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75C69" w:rsidTr="00E75C6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Пашенцев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Д.А.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юридического образования и юридической науки в России: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Московский городской педагогический университет,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75C69" w:rsidTr="00E75C6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Аверин, М.Б., Никитин, П.В.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и методология юридической науки: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Всероссийский государственный университет юстиции (РПА Минюста России),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75C69" w:rsidTr="00E75C6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Исаев Игорь Андреевич,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Мележик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Ирина Николаевна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и методология юридической науки: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75C69" w:rsidTr="00E75C69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E75C69" w:rsidTr="00E75C6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5C69" w:rsidRDefault="00E75C69">
            <w:pPr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E75C69" w:rsidTr="00E75C6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75C69" w:rsidRDefault="00E75C69">
            <w:pPr>
              <w:rPr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75C69" w:rsidRPr="00E75C69" w:rsidRDefault="00E75C6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75C69" w:rsidRDefault="00E75C69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186195" w:rsidRPr="00793634" w:rsidRDefault="00186195" w:rsidP="00793634">
      <w:pPr>
        <w:pStyle w:val="a3"/>
        <w:shd w:val="clear" w:color="auto" w:fill="FEFEFE"/>
        <w:tabs>
          <w:tab w:val="left" w:pos="9072"/>
          <w:tab w:val="left" w:pos="9356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D288A" w:rsidRPr="00CD288A" w:rsidRDefault="00E75C69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CD288A"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по изучению дисциплины </w:t>
      </w:r>
    </w:p>
    <w:p w:rsidR="00CD288A" w:rsidRPr="00CD288A" w:rsidRDefault="00E75C69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</w:t>
      </w:r>
      <w:r w:rsidR="00CD288A"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История и методология юридической науки</w:t>
      </w:r>
      <w:r w:rsidR="00CD288A"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В значительной степени добиться упорядочения знаний по дисциплине «</w:t>
      </w:r>
      <w:r w:rsidRPr="00CD288A">
        <w:rPr>
          <w:rFonts w:ascii="Times New Roman" w:hAnsi="Times New Roman" w:cs="Times New Roman"/>
          <w:bCs/>
          <w:color w:val="000000"/>
          <w:sz w:val="28"/>
          <w:szCs w:val="28"/>
        </w:rPr>
        <w:t>История и методология юридической науки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» позволит последовательное изучение рекомендуемых нормативных и специальных источников. Трудности при изучении дисциплины также могут возникнуть в связи со значительным количеством нормативно-правовых актов, регулирующих правоотношения.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Для того чтобы сориентироваться в массиве нормативных правовых актов, официальных актах высших судебных органов, документах судебной практики следует обратиться к перечню рекомендуемой литературы.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«Проблемой» при изучении дисциплины является значительная мобильность норм, содержащихся в источниках</w:t>
      </w:r>
      <w:r w:rsidR="00342F11">
        <w:rPr>
          <w:rFonts w:ascii="Times New Roman" w:hAnsi="Times New Roman" w:cs="Times New Roman"/>
          <w:color w:val="000000"/>
          <w:sz w:val="28"/>
          <w:szCs w:val="28"/>
        </w:rPr>
        <w:t xml:space="preserve"> права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Поэтому в процессе самостоятельной работы, при подготовке к аудиторным занятиям, к экзамену, а также при написании эссе, подготовке научных докладов необходимо уточнять действие изучаемого </w:t>
      </w:r>
      <w:proofErr w:type="spell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нормативноправового</w:t>
      </w:r>
      <w:proofErr w:type="spellEnd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 акта по времени. Целесообразно использовать возможности СПС «Консультант Плюс».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 нацелены на формирование и развитие профессиональных компетенций студентов в рамках изучения дисциплины. По дисциплине «</w:t>
      </w:r>
      <w:r w:rsidR="00342F11">
        <w:rPr>
          <w:rFonts w:ascii="Times New Roman" w:hAnsi="Times New Roman" w:cs="Times New Roman"/>
          <w:color w:val="000000"/>
          <w:sz w:val="28"/>
          <w:szCs w:val="28"/>
        </w:rPr>
        <w:t>История и методология юридической науки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» используются следующие формы оценки компетенций: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1. Собеседование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2. Тестирование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3. Устный опрос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4. Доклад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5. Дискуссия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6. Эссе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7. Контрольные вопросы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 Лабораторный практикум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9. Темы для проведения круглого стола </w:t>
      </w:r>
    </w:p>
    <w:p w:rsidR="00342F11" w:rsidRDefault="00CD288A" w:rsidP="00342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</w:r>
      <w:proofErr w:type="gramEnd"/>
    </w:p>
    <w:p w:rsidR="00CD288A" w:rsidRPr="00CD288A" w:rsidRDefault="00CD288A" w:rsidP="00342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Тестирование представляет собой систему стандартизированных заданий, </w:t>
      </w: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позволяющая</w:t>
      </w:r>
      <w:proofErr w:type="gramEnd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 автоматизировать процедуру измерения уровня знаний и умений обучающегося.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Для решения тестовых заданий необходимо предварительно изучить нормативную и специальную литературу по рассматриваемой теме. 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</w:t>
      </w: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й(</w:t>
      </w:r>
      <w:proofErr w:type="spellStart"/>
      <w:proofErr w:type="gramEnd"/>
      <w:r w:rsidRPr="00CD288A">
        <w:rPr>
          <w:rFonts w:ascii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) ответ (ответы).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Устный опрос - метод контроля, позволяющий не только опрашивать и контролировать знания обучающихся, но и сразу же поправлять, повторять и закреплять знания, умения и навыки. </w:t>
      </w:r>
      <w:proofErr w:type="gramEnd"/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Эссе/доклад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Дискуссия - средство проверки умений применять полученные знания для решения задач определенного типа по теме или разделу.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 через призму конституционных ценностей и положений.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На втором этапе – аудиторном занятии – идет публичное обсуждение дискуссионных вопросов. Дискуссия как интерактивная форма обучения предполагает проведение научных дебатов. Хорошо проведенная дискуссия имеет большую обучающую и воспитательную ценность.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Проводимые дискуссии воспитывают навыки публичного выступления, развиваются способности логически верно, аргументированно и ясно строить свою речь, публично представлять собственные и научные результаты.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вопросы - средство проверки умений применять полученные знания для решения задач определенного типа по теме или разделу. </w:t>
      </w:r>
    </w:p>
    <w:p w:rsidR="00CD288A" w:rsidRPr="00CD288A" w:rsidRDefault="00CD288A" w:rsidP="00CD2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Лабораторный практикум - существенный элемент учебного процесса в вузе, в ходе которого обучающиеся фактически впервые сталкиваются с самостоятельной практической деятельностью в конкретной области. </w:t>
      </w:r>
      <w:proofErr w:type="gramEnd"/>
    </w:p>
    <w:p w:rsidR="009711E1" w:rsidRDefault="00CD288A" w:rsidP="00CD288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Круглый стол - обсуждение, основанное на сообщениях, в качестве </w:t>
      </w:r>
      <w:r w:rsidRPr="00CD288A">
        <w:rPr>
          <w:rFonts w:ascii="Times New Roman" w:hAnsi="Times New Roman" w:cs="Times New Roman"/>
          <w:sz w:val="28"/>
          <w:szCs w:val="28"/>
        </w:rPr>
        <w:t>итогов дает результаты, которые, в свою очередь, являются новыми знаниями.</w:t>
      </w:r>
    </w:p>
    <w:p w:rsidR="00351B83" w:rsidRDefault="00351B83" w:rsidP="00CD288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1B83" w:rsidRDefault="00351B83" w:rsidP="00CD288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1B83" w:rsidRDefault="00351B83" w:rsidP="00CD288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1B83" w:rsidRPr="00351B83" w:rsidRDefault="00351B83" w:rsidP="00351B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 по проведению лабораторных занятий</w:t>
      </w:r>
    </w:p>
    <w:p w:rsidR="00351B83" w:rsidRPr="00351B83" w:rsidRDefault="00351B83" w:rsidP="00351B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Лабораторная работа № 1</w:t>
      </w:r>
    </w:p>
    <w:p w:rsidR="00351B83" w:rsidRPr="00351B83" w:rsidRDefault="00351B83" w:rsidP="0035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теме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2.4</w:t>
      </w: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История российской юридической науки</w:t>
      </w:r>
    </w:p>
    <w:p w:rsidR="00351B83" w:rsidRPr="00351B83" w:rsidRDefault="00351B83" w:rsidP="0035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работы: </w:t>
      </w:r>
      <w:r w:rsidRPr="00351B83">
        <w:rPr>
          <w:rFonts w:ascii="Times New Roman" w:hAnsi="Times New Roman" w:cs="Times New Roman"/>
          <w:color w:val="000000"/>
          <w:sz w:val="28"/>
          <w:szCs w:val="28"/>
        </w:rPr>
        <w:t>используя практические навыки работы со справочно-поисковыми правовыми системами «Гарант», «</w:t>
      </w:r>
      <w:proofErr w:type="spellStart"/>
      <w:r w:rsidRPr="00351B83">
        <w:rPr>
          <w:rFonts w:ascii="Times New Roman" w:hAnsi="Times New Roman" w:cs="Times New Roman"/>
          <w:color w:val="000000"/>
          <w:sz w:val="28"/>
          <w:szCs w:val="28"/>
        </w:rPr>
        <w:t>КонсультантПлюс</w:t>
      </w:r>
      <w:proofErr w:type="spellEnd"/>
      <w:r w:rsidRPr="00351B83">
        <w:rPr>
          <w:rFonts w:ascii="Times New Roman" w:hAnsi="Times New Roman" w:cs="Times New Roman"/>
          <w:color w:val="000000"/>
          <w:sz w:val="28"/>
          <w:szCs w:val="28"/>
        </w:rPr>
        <w:t>», порталами правовой информации «Юридическая Россия», Федеральный правовой портал // http://law.edu.ru, «Судебный прецедент» // http://www.sudprecedent.ru, «Все о праве» // http://www.allpravo.ru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осуществить комплексный анализ истории российской юридической науки.</w:t>
      </w:r>
    </w:p>
    <w:p w:rsidR="00351B83" w:rsidRPr="00351B83" w:rsidRDefault="00351B83" w:rsidP="0035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рекомендации по лабораторной работе </w:t>
      </w:r>
    </w:p>
    <w:p w:rsidR="005B36BE" w:rsidRPr="005B36BE" w:rsidRDefault="005B36BE" w:rsidP="005B36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36BE">
        <w:rPr>
          <w:color w:val="000000"/>
          <w:sz w:val="28"/>
          <w:szCs w:val="28"/>
        </w:rPr>
        <w:t>Лабораторное занятие – это основной вид учебных занятий, направленный на экспериментальное подтверждение теоретических положений.</w:t>
      </w:r>
    </w:p>
    <w:p w:rsidR="005B36BE" w:rsidRPr="005B36BE" w:rsidRDefault="005B36BE" w:rsidP="005B36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36BE">
        <w:rPr>
          <w:color w:val="000000"/>
          <w:sz w:val="28"/>
          <w:szCs w:val="28"/>
        </w:rPr>
        <w:t>В процессе лабораторного занятия учащиеся выполняют одну или несколько лабораторных работ (заданий) под руководством преподавателя в соответствии с изучаемым содержанием учебного материала.</w:t>
      </w:r>
    </w:p>
    <w:p w:rsidR="005B36BE" w:rsidRPr="005B36BE" w:rsidRDefault="005B36BE" w:rsidP="005B36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36BE">
        <w:rPr>
          <w:color w:val="000000"/>
          <w:sz w:val="28"/>
          <w:szCs w:val="28"/>
        </w:rPr>
        <w:t xml:space="preserve">Выполнение лабораторных работ направлено </w:t>
      </w:r>
      <w:proofErr w:type="gramStart"/>
      <w:r w:rsidRPr="005B36BE">
        <w:rPr>
          <w:color w:val="000000"/>
          <w:sz w:val="28"/>
          <w:szCs w:val="28"/>
        </w:rPr>
        <w:t>на</w:t>
      </w:r>
      <w:proofErr w:type="gramEnd"/>
      <w:r w:rsidRPr="005B36BE">
        <w:rPr>
          <w:color w:val="000000"/>
          <w:sz w:val="28"/>
          <w:szCs w:val="28"/>
        </w:rPr>
        <w:t>:</w:t>
      </w:r>
    </w:p>
    <w:p w:rsidR="005B36BE" w:rsidRPr="005B36BE" w:rsidRDefault="005B36BE" w:rsidP="005B36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36BE">
        <w:rPr>
          <w:color w:val="000000"/>
          <w:sz w:val="28"/>
          <w:szCs w:val="28"/>
        </w:rPr>
        <w:t>обобщение, систематизацию, углубление теоретических знаний по конкретным темам учебной дисциплины;</w:t>
      </w:r>
    </w:p>
    <w:p w:rsidR="005B36BE" w:rsidRPr="005B36BE" w:rsidRDefault="005B36BE" w:rsidP="005B36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36BE">
        <w:rPr>
          <w:color w:val="000000"/>
          <w:sz w:val="28"/>
          <w:szCs w:val="28"/>
        </w:rPr>
        <w:t>формирование умений применять полученные знания в практической деятельности;</w:t>
      </w:r>
    </w:p>
    <w:p w:rsidR="005B36BE" w:rsidRPr="005B36BE" w:rsidRDefault="005B36BE" w:rsidP="005B36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36BE">
        <w:rPr>
          <w:color w:val="000000"/>
          <w:sz w:val="28"/>
          <w:szCs w:val="28"/>
        </w:rPr>
        <w:t>развитие аналитических, проектировочных, конструктивных умений;</w:t>
      </w:r>
    </w:p>
    <w:p w:rsidR="005B36BE" w:rsidRPr="005B36BE" w:rsidRDefault="005B36BE" w:rsidP="005B36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36BE">
        <w:rPr>
          <w:color w:val="000000"/>
          <w:sz w:val="28"/>
          <w:szCs w:val="28"/>
        </w:rPr>
        <w:t>выработку самостоятельности, ответственности и творческой инициативы.</w:t>
      </w:r>
    </w:p>
    <w:p w:rsidR="005B36BE" w:rsidRDefault="00351B83" w:rsidP="0035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B83">
        <w:rPr>
          <w:rFonts w:ascii="Times New Roman" w:hAnsi="Times New Roman" w:cs="Times New Roman"/>
          <w:color w:val="000000"/>
          <w:sz w:val="28"/>
          <w:szCs w:val="28"/>
        </w:rPr>
        <w:t>При подготовке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лабораторному занятию по теме 2.4</w:t>
      </w:r>
      <w:r w:rsidR="009A6F31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учитывать,</w:t>
      </w:r>
      <w:r w:rsidR="009A6F31">
        <w:rPr>
          <w:rFonts w:ascii="Times New Roman" w:hAnsi="Times New Roman" w:cs="Times New Roman"/>
          <w:sz w:val="28"/>
          <w:szCs w:val="28"/>
        </w:rPr>
        <w:t xml:space="preserve"> рассмотрение</w:t>
      </w:r>
      <w:r w:rsidR="009A6F31" w:rsidRPr="009A6F31">
        <w:rPr>
          <w:rFonts w:ascii="Times New Roman" w:hAnsi="Times New Roman" w:cs="Times New Roman"/>
          <w:sz w:val="28"/>
          <w:szCs w:val="28"/>
        </w:rPr>
        <w:t xml:space="preserve"> методологических проблем юридической науки, необходимо определиться с предметом настоящего исследования, т.е. ответить на вопросы, что собой представляет юридическая наука, как она устроена и для чего она нужна. </w:t>
      </w:r>
      <w:proofErr w:type="gramStart"/>
      <w:r w:rsidR="009A6F31" w:rsidRPr="009A6F31">
        <w:rPr>
          <w:rFonts w:ascii="Times New Roman" w:hAnsi="Times New Roman" w:cs="Times New Roman"/>
          <w:sz w:val="28"/>
          <w:szCs w:val="28"/>
        </w:rPr>
        <w:t xml:space="preserve">В современной юридической литературе по истории и методологии юридической науки приводится множество определений искомого понятия, дается обстоятельная характеристика различным сторонам науки о праве, наша задача – проанализировать основные подходы и сформировать рабочее представление о такой науке, которое бы не только раскрывало её содержание, но и опиралось на современную науковедческую картину методологии науки в целом. </w:t>
      </w:r>
      <w:proofErr w:type="gramEnd"/>
    </w:p>
    <w:p w:rsidR="009A6F31" w:rsidRDefault="009A6F31" w:rsidP="0035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F31">
        <w:rPr>
          <w:rFonts w:ascii="Times New Roman" w:hAnsi="Times New Roman" w:cs="Times New Roman"/>
          <w:sz w:val="28"/>
          <w:szCs w:val="28"/>
        </w:rPr>
        <w:lastRenderedPageBreak/>
        <w:t xml:space="preserve">Специфика любой науки выражается в особом стиле мышления и подходе к определению, анализу и оценке понятий и явлений. В силу этого, наряду с философскими категориями в рамках любой науки, в </w:t>
      </w:r>
      <w:proofErr w:type="spellStart"/>
      <w:r w:rsidRPr="009A6F3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9A6F31">
        <w:rPr>
          <w:rFonts w:ascii="Times New Roman" w:hAnsi="Times New Roman" w:cs="Times New Roman"/>
          <w:sz w:val="28"/>
          <w:szCs w:val="28"/>
        </w:rPr>
        <w:t>. юридической, принято выделять частно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6F31">
        <w:rPr>
          <w:rFonts w:ascii="Times New Roman" w:hAnsi="Times New Roman" w:cs="Times New Roman"/>
          <w:sz w:val="28"/>
          <w:szCs w:val="28"/>
        </w:rPr>
        <w:t>научные категории (в нашем случае – правовые категории), которые используются в отдельных областях научного знания, выступают как результат обобщения знаний о локальной и специфичной области познания.</w:t>
      </w:r>
    </w:p>
    <w:p w:rsidR="009A6F31" w:rsidRDefault="009A6F31" w:rsidP="0035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F31">
        <w:rPr>
          <w:rFonts w:ascii="Times New Roman" w:hAnsi="Times New Roman" w:cs="Times New Roman"/>
          <w:sz w:val="28"/>
          <w:szCs w:val="28"/>
        </w:rPr>
        <w:t>Игнорирование духа есть выражение капитуляции юриспруденции перед явлениями свободной воли, свободной личности и свободы вообще. Само существование правовой сферы убеждает нас в том, что право есть одно из безусловных духовных явлений и важнейший инструмент для воспроизводства духовности в обществе.</w:t>
      </w:r>
    </w:p>
    <w:p w:rsidR="009A6F31" w:rsidRPr="009A6F31" w:rsidRDefault="009A6F31" w:rsidP="0035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F31">
        <w:rPr>
          <w:rFonts w:ascii="Times New Roman" w:hAnsi="Times New Roman" w:cs="Times New Roman"/>
          <w:sz w:val="28"/>
          <w:szCs w:val="28"/>
        </w:rPr>
        <w:t>Юриспруденция с ее нынешним предметом правового регулирования фактически не принимает во внимание внутреннее отношение индивида к нормам права. Это усугубляет положение юридической практики. Ведь если юридическая наука не занимается внутренним миром человека, то и юридической практике приходится иметь дело только с внешними проявлениями человеческого поведения.</w:t>
      </w:r>
    </w:p>
    <w:p w:rsidR="00351B83" w:rsidRPr="00351B83" w:rsidRDefault="005B36BE" w:rsidP="0035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для выполнения</w:t>
      </w:r>
      <w:r w:rsidR="00351B83"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лабораторной работы </w:t>
      </w:r>
    </w:p>
    <w:p w:rsidR="00351B83" w:rsidRPr="005B36BE" w:rsidRDefault="00351B83" w:rsidP="00351B83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B36BE">
        <w:rPr>
          <w:rFonts w:ascii="Times New Roman" w:hAnsi="Times New Roman" w:cs="Times New Roman"/>
          <w:bCs/>
          <w:color w:val="000000"/>
          <w:sz w:val="28"/>
          <w:szCs w:val="28"/>
        </w:rPr>
        <w:t>История российской юридической науки: общая характеристика</w:t>
      </w:r>
    </w:p>
    <w:p w:rsidR="00351B83" w:rsidRPr="005B36BE" w:rsidRDefault="00351B83" w:rsidP="00351B83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</w:pPr>
      <w:r w:rsidRPr="005B36BE">
        <w:rPr>
          <w:rStyle w:val="a20"/>
          <w:rFonts w:ascii="Times New Roman" w:hAnsi="Times New Roman" w:cs="Times New Roman"/>
          <w:bCs/>
          <w:color w:val="000000"/>
          <w:sz w:val="28"/>
          <w:szCs w:val="28"/>
        </w:rPr>
        <w:t>Семейно-монастырский период</w:t>
      </w:r>
      <w:r w:rsidRPr="005B36BE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> российской юридической науки</w:t>
      </w:r>
    </w:p>
    <w:p w:rsidR="00351B83" w:rsidRPr="005B36BE" w:rsidRDefault="00351B83" w:rsidP="00351B83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</w:pPr>
      <w:r w:rsidRPr="005B36BE">
        <w:rPr>
          <w:rStyle w:val="a20"/>
          <w:rFonts w:ascii="Times New Roman" w:hAnsi="Times New Roman" w:cs="Times New Roman"/>
          <w:bCs/>
          <w:color w:val="000000"/>
          <w:sz w:val="28"/>
          <w:szCs w:val="28"/>
        </w:rPr>
        <w:t>Академический период</w:t>
      </w:r>
      <w:r w:rsidRPr="005B36BE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> российской юридической науки</w:t>
      </w:r>
    </w:p>
    <w:p w:rsidR="00351B83" w:rsidRPr="005B36BE" w:rsidRDefault="00351B83" w:rsidP="00351B83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</w:pPr>
      <w:bookmarkStart w:id="1" w:name="bookmark21"/>
      <w:r w:rsidRPr="005B36BE">
        <w:rPr>
          <w:rStyle w:val="42"/>
          <w:rFonts w:ascii="Times New Roman" w:hAnsi="Times New Roman" w:cs="Times New Roman"/>
          <w:bCs/>
          <w:color w:val="000000"/>
          <w:sz w:val="28"/>
          <w:szCs w:val="28"/>
        </w:rPr>
        <w:t>Университетский период</w:t>
      </w:r>
      <w:bookmarkEnd w:id="1"/>
      <w:r w:rsidRPr="005B36BE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> российской юридической науки</w:t>
      </w:r>
    </w:p>
    <w:p w:rsidR="00351B83" w:rsidRPr="005B36BE" w:rsidRDefault="00351B83" w:rsidP="00351B83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</w:pPr>
      <w:r w:rsidRPr="005B36BE">
        <w:rPr>
          <w:rFonts w:ascii="Times New Roman" w:hAnsi="Times New Roman" w:cs="Times New Roman"/>
          <w:bCs/>
          <w:color w:val="000000"/>
          <w:sz w:val="28"/>
          <w:szCs w:val="28"/>
        </w:rPr>
        <w:t>«Золотой век» российского правоведения</w:t>
      </w:r>
      <w:r w:rsidRPr="005B36BE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> российской юридической науки</w:t>
      </w:r>
    </w:p>
    <w:p w:rsidR="00351B83" w:rsidRPr="005B36BE" w:rsidRDefault="00351B83" w:rsidP="00351B83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</w:pPr>
      <w:r w:rsidRPr="005B36BE">
        <w:rPr>
          <w:rFonts w:ascii="Times New Roman" w:hAnsi="Times New Roman" w:cs="Times New Roman"/>
          <w:bCs/>
          <w:color w:val="000000"/>
          <w:sz w:val="28"/>
          <w:szCs w:val="28"/>
        </w:rPr>
        <w:t>Сталинский период</w:t>
      </w:r>
      <w:r w:rsidRPr="005B36BE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> российской юридической науки</w:t>
      </w:r>
    </w:p>
    <w:p w:rsidR="00351B83" w:rsidRPr="005B36BE" w:rsidRDefault="00351B83" w:rsidP="00351B83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</w:pPr>
      <w:r w:rsidRPr="005B36BE">
        <w:rPr>
          <w:rFonts w:ascii="Times New Roman" w:hAnsi="Times New Roman" w:cs="Times New Roman"/>
          <w:bCs/>
          <w:color w:val="000000"/>
          <w:sz w:val="28"/>
          <w:szCs w:val="28"/>
        </w:rPr>
        <w:t>Период развитого социализма</w:t>
      </w:r>
      <w:r w:rsidRPr="005B36BE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> российской юридической науки</w:t>
      </w:r>
    </w:p>
    <w:p w:rsidR="00351B83" w:rsidRPr="005B36BE" w:rsidRDefault="00351B83" w:rsidP="00351B83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B36BE">
        <w:rPr>
          <w:rFonts w:ascii="Times New Roman" w:hAnsi="Times New Roman" w:cs="Times New Roman"/>
          <w:bCs/>
          <w:color w:val="000000"/>
          <w:sz w:val="28"/>
          <w:szCs w:val="28"/>
        </w:rPr>
        <w:t>Современный период российской юридической науки</w:t>
      </w:r>
    </w:p>
    <w:p w:rsidR="00351B83" w:rsidRPr="00CD288A" w:rsidRDefault="00351B83" w:rsidP="00CD288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1B83" w:rsidRPr="00CD2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BD40CA"/>
    <w:multiLevelType w:val="hybridMultilevel"/>
    <w:tmpl w:val="350631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7A88FF7"/>
    <w:multiLevelType w:val="hybridMultilevel"/>
    <w:tmpl w:val="CCE66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9A28561"/>
    <w:multiLevelType w:val="hybridMultilevel"/>
    <w:tmpl w:val="C7524E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784BEE7"/>
    <w:multiLevelType w:val="hybridMultilevel"/>
    <w:tmpl w:val="20D550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8C164DA"/>
    <w:multiLevelType w:val="hybridMultilevel"/>
    <w:tmpl w:val="9F5E7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ADDB309"/>
    <w:multiLevelType w:val="hybridMultilevel"/>
    <w:tmpl w:val="A44AF9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8A93B6B"/>
    <w:multiLevelType w:val="multilevel"/>
    <w:tmpl w:val="87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E52"/>
    <w:rsid w:val="00186195"/>
    <w:rsid w:val="002D5E9C"/>
    <w:rsid w:val="00342F11"/>
    <w:rsid w:val="00351B83"/>
    <w:rsid w:val="00582BEA"/>
    <w:rsid w:val="005B36BE"/>
    <w:rsid w:val="00762951"/>
    <w:rsid w:val="00766A47"/>
    <w:rsid w:val="00793634"/>
    <w:rsid w:val="007C7D12"/>
    <w:rsid w:val="007D1015"/>
    <w:rsid w:val="008D23EC"/>
    <w:rsid w:val="009711E1"/>
    <w:rsid w:val="009A6F31"/>
    <w:rsid w:val="00A27846"/>
    <w:rsid w:val="00A631BC"/>
    <w:rsid w:val="00B36B96"/>
    <w:rsid w:val="00CD288A"/>
    <w:rsid w:val="00E249F6"/>
    <w:rsid w:val="00E51E52"/>
    <w:rsid w:val="00E70D26"/>
    <w:rsid w:val="00E75C69"/>
    <w:rsid w:val="00EE5B81"/>
    <w:rsid w:val="00F03A4A"/>
    <w:rsid w:val="00F6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295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2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95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711E1"/>
    <w:pPr>
      <w:ind w:left="720"/>
      <w:contextualSpacing/>
    </w:pPr>
  </w:style>
  <w:style w:type="paragraph" w:customStyle="1" w:styleId="Default">
    <w:name w:val="Default"/>
    <w:rsid w:val="00A278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582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rsid w:val="00351B83"/>
  </w:style>
  <w:style w:type="character" w:customStyle="1" w:styleId="11">
    <w:name w:val="11"/>
    <w:rsid w:val="00351B83"/>
  </w:style>
  <w:style w:type="character" w:customStyle="1" w:styleId="42">
    <w:name w:val="42"/>
    <w:rsid w:val="00351B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295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2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95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711E1"/>
    <w:pPr>
      <w:ind w:left="720"/>
      <w:contextualSpacing/>
    </w:pPr>
  </w:style>
  <w:style w:type="paragraph" w:customStyle="1" w:styleId="Default">
    <w:name w:val="Default"/>
    <w:rsid w:val="00A278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582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rsid w:val="00351B83"/>
  </w:style>
  <w:style w:type="character" w:customStyle="1" w:styleId="11">
    <w:name w:val="11"/>
    <w:rsid w:val="00351B83"/>
  </w:style>
  <w:style w:type="character" w:customStyle="1" w:styleId="42">
    <w:name w:val="42"/>
    <w:rsid w:val="00351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79AAE-E9A2-4BB3-9C16-E53882B1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3294</Words>
  <Characters>18779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Анастасия</cp:lastModifiedBy>
  <cp:revision>16</cp:revision>
  <dcterms:created xsi:type="dcterms:W3CDTF">2019-01-17T18:09:00Z</dcterms:created>
  <dcterms:modified xsi:type="dcterms:W3CDTF">2020-08-18T19:00:00Z</dcterms:modified>
</cp:coreProperties>
</file>